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9be631f27d046e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28493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MARIJA BISTRICA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5.064.733,52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5.696.582,95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3.812.137,35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4.552.759,29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1.252.596,17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1.143.823,66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1.066.672,42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1.210.429,14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1.065.052,17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1.207.429,14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206.527,60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123.805,72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128.968,91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77.558,69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63.738,28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13.953,21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21,9</w:t>
            </w:r>
          </w:p>
        </w:tc>
      </w:tr>
    </w:tbl>
    <w:p>
      <w:pPr>
        <w:spacing w:before="0" w:after="0"/>
      </w:pPr>
    </w:p>
    <w:p>
      <w:r>
        <w:t xml:space="preserve">U razdoblju od 01.01.2025 do 31.12.2025 prihodi poslovanja ostvareni su u iznosu 5.696.582,95 eur. Najznačajnije povećanje prihoda poslovanja ostvareno je s osnove kapitalnih pomoći iz EU sredstava. Najznačajnije smanjenje prihoda poslovanja ostvareno je s osnove stalnih poreza na nepokretnu imovinu iz razloga jer je ukinut porez na kuće za odmor. Rashodi poslovanja u razdoblju od 01.01.2025 do 31.12.2025 ostvareni su u iznosu 4.552.759,29 eur. Najznačajnije povećanje rashoda evidentirano je na kontu tekućih donacija u novcu, a odnosi na financiranje udruga civilnog društva, TZ, radio M.B itd.. Ostvareni su prihodi od prodaje nefinancijske imovine koji se odnose na prodaju zemljišta. Rashodi za nabavu nefinancijske imovine od 1.210.429,14 eur najvećim dijelom se odnose na dogradnju poslovnog objekta novog dječjeg vrtića. Ukupni primici od financijske imovine i zaduživanja 206.527,60 eur odnose se na korištenje sukcesivnog kredita za dogradnju novog vrtića. Ukupni izdaci za financijsku imovinu i otplate zajmova u iznosu 128.968,91 eur odnose na otplatu kredita iz prethodnih godina. Iz prethodne godine prenesen je višak prihoda i primitaka u iznosu od 1.042.174,91 koji uz ostvareni višak iz 2025. godine u iznosu od 13.953,21 eur ukupno iznosi 1.056.128,12 eur.</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13.218,87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2025. godine iznosi 13.218,87 eur, a odnose se na obveze prema dobavljačima po računima pristiglim nakon isteka roka dospijeća.</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r>
        <w:t xml:space="preserve">U razdoblju 01.01.2025. do 31.12.2025. primljena su sredstva po natječaju EU poljoprivrednog fonda za ruralni razvoj u iznosu 32.917,22 eur, po realizaciji projekta izgradnje dječjeg igrališta. Također su primljena sredstva 362.837,89 eur kao NPOO zajam za dogradnju dječjeg vrtića koji projekt je također dovršen u cijelosti. Iz istog fonda odobrena su sredstva u domeni prostornog uređenja u iznosu 24.000,00 eur koja još nisu realizirana.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ae30861fb674520" /></Relationships>
</file>